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B8B" w14:textId="77777777" w:rsidR="00100C07" w:rsidRDefault="00100C07" w:rsidP="004E585A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C31D22" wp14:editId="04FD6AF9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1154430" cy="1004570"/>
            <wp:effectExtent l="0" t="0" r="0" b="5080"/>
            <wp:wrapSquare wrapText="bothSides"/>
            <wp:docPr id="1635605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605721" name="Picture 163560572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0" b="6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004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BE9">
        <w:t xml:space="preserve">Climate Data in Action </w:t>
      </w:r>
    </w:p>
    <w:p w14:paraId="4DB67134" w14:textId="2C786AAD" w:rsidR="004E585A" w:rsidRPr="004E585A" w:rsidRDefault="00AD4BE9" w:rsidP="004E585A">
      <w:pPr>
        <w:pStyle w:val="Title"/>
      </w:pPr>
      <w:r>
        <w:t>Activity</w:t>
      </w:r>
      <w:r w:rsidR="006C1638">
        <w:t xml:space="preserve"> </w:t>
      </w:r>
      <w:r w:rsidR="00856A6F">
        <w:t>W</w:t>
      </w:r>
      <w:r w:rsidR="006C1638">
        <w:t>orksheet</w:t>
      </w:r>
    </w:p>
    <w:p w14:paraId="557F78B2" w14:textId="77777777" w:rsidR="004E585A" w:rsidRDefault="004E585A" w:rsidP="004E585A"/>
    <w:p w14:paraId="794ACD4B" w14:textId="234EA994" w:rsidR="00475A44" w:rsidRPr="00475A44" w:rsidRDefault="00475A44" w:rsidP="00475A44">
      <w:r w:rsidRPr="00475A44">
        <w:t>Use this worksheet as you tour ClimateData.ca. Record the numbers you find, then reflect on what they mean for your community.</w:t>
      </w:r>
      <w:r w:rsidR="00D021E4">
        <w:t xml:space="preserve"> </w:t>
      </w:r>
      <w:r w:rsidR="002C7C39">
        <w:t xml:space="preserve">If you get stuck or need more information to help fill out the answers or reflect on your choices, check out </w:t>
      </w:r>
      <w:r w:rsidR="004B5530">
        <w:t>the “</w:t>
      </w:r>
      <w:r w:rsidR="004B5530" w:rsidRPr="00F667E8">
        <w:t>Exploring ClimateData.ca</w:t>
      </w:r>
      <w:r w:rsidR="004B5530">
        <w:t xml:space="preserve">” blog and the </w:t>
      </w:r>
      <w:r w:rsidR="008E64BA">
        <w:t>“</w:t>
      </w:r>
      <w:r w:rsidR="004B5530" w:rsidRPr="00F667E8">
        <w:t>Climate Foundations</w:t>
      </w:r>
      <w:r w:rsidR="008E64BA">
        <w:t>”</w:t>
      </w:r>
      <w:r w:rsidR="004B5530">
        <w:t xml:space="preserve"> guide. </w:t>
      </w:r>
      <w:r w:rsidR="00917481">
        <w:t xml:space="preserve">Remember to consider your local context, as well as the values and priorities of your particular sector, when reflecting on the exercise. </w:t>
      </w:r>
    </w:p>
    <w:p w14:paraId="45B2BD44" w14:textId="77777777" w:rsidR="00475A44" w:rsidRPr="00475A44" w:rsidRDefault="00000000" w:rsidP="00475A44">
      <w:r>
        <w:pict w14:anchorId="6C3D3028">
          <v:rect id="_x0000_i1025" style="width:0;height:1.5pt" o:hralign="center" o:hrstd="t" o:hr="t" fillcolor="#a0a0a0" stroked="f"/>
        </w:pict>
      </w:r>
    </w:p>
    <w:p w14:paraId="7513BFD4" w14:textId="77777777" w:rsidR="00475A44" w:rsidRPr="00475A44" w:rsidRDefault="00475A44" w:rsidP="00475A44">
      <w:pPr>
        <w:rPr>
          <w:b/>
          <w:bCs/>
        </w:rPr>
      </w:pPr>
      <w:r w:rsidRPr="00475A44">
        <w:rPr>
          <w:b/>
          <w:bCs/>
        </w:rPr>
        <w:t>Step 1: Find Your Community</w:t>
      </w:r>
    </w:p>
    <w:p w14:paraId="11B317F6" w14:textId="77777777" w:rsidR="00475A44" w:rsidRPr="00475A44" w:rsidRDefault="00475A44" w:rsidP="00475A44">
      <w:r w:rsidRPr="00475A44">
        <w:t xml:space="preserve">Go to </w:t>
      </w:r>
      <w:r w:rsidRPr="00475A44">
        <w:rPr>
          <w:b/>
          <w:bCs/>
        </w:rPr>
        <w:t>Maps</w:t>
      </w:r>
      <w:r w:rsidRPr="00475A44">
        <w:t xml:space="preserve"> and search for your community.</w:t>
      </w:r>
    </w:p>
    <w:p w14:paraId="1EAAFA3B" w14:textId="77777777" w:rsidR="00475A44" w:rsidRPr="00475A44" w:rsidRDefault="00475A44" w:rsidP="00475A44">
      <w:r w:rsidRPr="00475A44">
        <w:rPr>
          <w:b/>
          <w:bCs/>
        </w:rPr>
        <w:t>My community:</w:t>
      </w:r>
      <w:r w:rsidRPr="00475A44">
        <w:t xml:space="preserve"> ________________________________</w:t>
      </w:r>
    </w:p>
    <w:p w14:paraId="7408BDBF" w14:textId="2D4202A7" w:rsidR="00475A44" w:rsidRPr="00475A44" w:rsidRDefault="00000000" w:rsidP="00475A44">
      <w:r>
        <w:pict w14:anchorId="51185357">
          <v:rect id="_x0000_i1026" style="width:0;height:1.5pt" o:hralign="center" o:hrstd="t" o:hr="t" fillcolor="#a0a0a0" stroked="f"/>
        </w:pict>
      </w:r>
    </w:p>
    <w:p w14:paraId="0E6448E4" w14:textId="3D43DB17" w:rsidR="00475A44" w:rsidRPr="00475A44" w:rsidRDefault="00475A44" w:rsidP="00475A44">
      <w:pPr>
        <w:rPr>
          <w:b/>
          <w:bCs/>
        </w:rPr>
      </w:pPr>
      <w:r w:rsidRPr="00475A44">
        <w:rPr>
          <w:b/>
          <w:bCs/>
        </w:rPr>
        <w:t>Step 2: Understand the Popup</w:t>
      </w:r>
    </w:p>
    <w:p w14:paraId="384D1A16" w14:textId="53E6FD45" w:rsidR="00475A44" w:rsidRPr="00475A44" w:rsidRDefault="00475A44" w:rsidP="00475A44">
      <w:r w:rsidRPr="00475A44">
        <w:t>Fill in the values shown in the popup for</w:t>
      </w:r>
      <w:r w:rsidR="00D021E4">
        <w:t xml:space="preserve"> the</w:t>
      </w:r>
      <w:r w:rsidRPr="00475A44">
        <w:t xml:space="preserve"> “Hottest Day”</w:t>
      </w:r>
      <w:r w:rsidR="00D021E4">
        <w:t xml:space="preserve"> variable (the default</w:t>
      </w:r>
      <w:r w:rsidR="001B054E">
        <w:t xml:space="preserve"> variable when you first load the map)</w:t>
      </w:r>
      <w:r w:rsidRPr="00475A44">
        <w:t>:</w:t>
      </w:r>
    </w:p>
    <w:p w14:paraId="00EE8DDF" w14:textId="77777777" w:rsidR="00475A44" w:rsidRPr="00475A44" w:rsidRDefault="00475A44" w:rsidP="00475A44">
      <w:pPr>
        <w:numPr>
          <w:ilvl w:val="0"/>
          <w:numId w:val="23"/>
        </w:numPr>
      </w:pPr>
      <w:r w:rsidRPr="00475A44">
        <w:rPr>
          <w:b/>
          <w:bCs/>
        </w:rPr>
        <w:t>Median:</w:t>
      </w:r>
      <w:r w:rsidRPr="00475A44">
        <w:t xml:space="preserve"> _____________________</w:t>
      </w:r>
    </w:p>
    <w:p w14:paraId="5AC54940" w14:textId="245F0F67" w:rsidR="00475A44" w:rsidRPr="00475A44" w:rsidRDefault="00475A44" w:rsidP="00475A44">
      <w:pPr>
        <w:numPr>
          <w:ilvl w:val="0"/>
          <w:numId w:val="23"/>
        </w:numPr>
      </w:pPr>
      <w:r w:rsidRPr="00475A44">
        <w:rPr>
          <w:b/>
          <w:bCs/>
        </w:rPr>
        <w:t>Range (10</w:t>
      </w:r>
      <w:r w:rsidRPr="00475A44">
        <w:rPr>
          <w:b/>
          <w:bCs/>
          <w:vertAlign w:val="superscript"/>
        </w:rPr>
        <w:t>th</w:t>
      </w:r>
      <w:r w:rsidRPr="00475A44">
        <w:rPr>
          <w:b/>
          <w:bCs/>
        </w:rPr>
        <w:t>–90</w:t>
      </w:r>
      <w:r w:rsidRPr="00475A44">
        <w:rPr>
          <w:b/>
          <w:bCs/>
          <w:vertAlign w:val="superscript"/>
        </w:rPr>
        <w:t>th</w:t>
      </w:r>
      <w:r w:rsidR="001B054E">
        <w:rPr>
          <w:b/>
          <w:bCs/>
        </w:rPr>
        <w:t xml:space="preserve"> percentile</w:t>
      </w:r>
      <w:r w:rsidRPr="00475A44">
        <w:rPr>
          <w:b/>
          <w:bCs/>
        </w:rPr>
        <w:t>):</w:t>
      </w:r>
      <w:r w:rsidRPr="00475A44">
        <w:t xml:space="preserve"> _____________________</w:t>
      </w:r>
    </w:p>
    <w:p w14:paraId="5D9800A7" w14:textId="77777777" w:rsidR="00475A44" w:rsidRPr="00475A44" w:rsidRDefault="00475A44" w:rsidP="00475A44">
      <w:pPr>
        <w:numPr>
          <w:ilvl w:val="0"/>
          <w:numId w:val="23"/>
        </w:numPr>
      </w:pPr>
      <w:r w:rsidRPr="00475A44">
        <w:rPr>
          <w:b/>
          <w:bCs/>
        </w:rPr>
        <w:t>Change from baseline (1971–2000):</w:t>
      </w:r>
      <w:r w:rsidRPr="00475A44">
        <w:t xml:space="preserve"> _____________________</w:t>
      </w:r>
    </w:p>
    <w:p w14:paraId="2B5DFB42" w14:textId="76D82A0F" w:rsidR="00475A44" w:rsidRPr="00475A44" w:rsidRDefault="00D355FD" w:rsidP="00475A44">
      <w:r>
        <w:rPr>
          <w:b/>
          <w:bCs/>
        </w:rPr>
        <w:t>Group reflection</w:t>
      </w:r>
      <w:r w:rsidR="00475A44" w:rsidRPr="00475A44">
        <w:rPr>
          <w:b/>
          <w:bCs/>
        </w:rPr>
        <w:t>:</w:t>
      </w:r>
      <w:r w:rsidR="00475A44" w:rsidRPr="00475A44">
        <w:t xml:space="preserve"> What does each term (median, range, baseline) mean? Why are all three important to understand?</w:t>
      </w:r>
    </w:p>
    <w:p w14:paraId="4F7CDEBA" w14:textId="77777777" w:rsidR="00475A44" w:rsidRPr="00475A44" w:rsidRDefault="00000000" w:rsidP="00475A44">
      <w:r>
        <w:pict w14:anchorId="552B82D9">
          <v:rect id="_x0000_i1027" style="width:0;height:1.5pt" o:hralign="center" o:hrstd="t" o:hr="t" fillcolor="#a0a0a0" stroked="f"/>
        </w:pict>
      </w:r>
    </w:p>
    <w:p w14:paraId="047977EA" w14:textId="77777777" w:rsidR="00475A44" w:rsidRPr="00475A44" w:rsidRDefault="00475A44" w:rsidP="00475A44">
      <w:pPr>
        <w:rPr>
          <w:b/>
          <w:bCs/>
        </w:rPr>
      </w:pPr>
      <w:r w:rsidRPr="00475A44">
        <w:rPr>
          <w:b/>
          <w:bCs/>
        </w:rPr>
        <w:t>Step 3: Explore a Variable – Humidex</w:t>
      </w:r>
    </w:p>
    <w:p w14:paraId="42FA0687" w14:textId="77777777" w:rsidR="00475A44" w:rsidRPr="00475A44" w:rsidRDefault="00475A44" w:rsidP="00475A44">
      <w:r w:rsidRPr="00475A44">
        <w:t xml:space="preserve">Select </w:t>
      </w:r>
      <w:r w:rsidRPr="00475A44">
        <w:rPr>
          <w:b/>
          <w:bCs/>
        </w:rPr>
        <w:t>Days with Humidex above threshold</w:t>
      </w:r>
      <w:r w:rsidRPr="00475A44">
        <w:t xml:space="preserve"> (30°C, 35°C, 40°C).</w:t>
      </w:r>
    </w:p>
    <w:p w14:paraId="0CD93D91" w14:textId="77777777" w:rsidR="00475A44" w:rsidRPr="00475A44" w:rsidRDefault="00475A44" w:rsidP="00475A44">
      <w:r w:rsidRPr="00475A44">
        <w:rPr>
          <w:b/>
          <w:bCs/>
        </w:rPr>
        <w:t>Days above 30°C:</w:t>
      </w:r>
      <w:r w:rsidRPr="00475A44">
        <w:t xml:space="preserve"> ______</w:t>
      </w:r>
      <w:r w:rsidRPr="00475A44">
        <w:br/>
      </w:r>
      <w:r w:rsidRPr="00475A44">
        <w:rPr>
          <w:b/>
          <w:bCs/>
        </w:rPr>
        <w:t>Days above 35°C:</w:t>
      </w:r>
      <w:r w:rsidRPr="00475A44">
        <w:t xml:space="preserve"> ______</w:t>
      </w:r>
      <w:r w:rsidRPr="00475A44">
        <w:br/>
      </w:r>
      <w:r w:rsidRPr="00475A44">
        <w:rPr>
          <w:b/>
          <w:bCs/>
        </w:rPr>
        <w:t>Days above 40°C:</w:t>
      </w:r>
      <w:r w:rsidRPr="00475A44">
        <w:t xml:space="preserve"> ______</w:t>
      </w:r>
    </w:p>
    <w:p w14:paraId="0DE18C16" w14:textId="4E0782A0" w:rsidR="00475A44" w:rsidRPr="00475A44" w:rsidRDefault="001845A3" w:rsidP="00475A44">
      <w:r w:rsidRPr="001845A3">
        <w:rPr>
          <w:b/>
          <w:bCs/>
        </w:rPr>
        <w:lastRenderedPageBreak/>
        <w:t xml:space="preserve">Group Reflection: </w:t>
      </w:r>
      <w:r w:rsidRPr="001845A3">
        <w:t>If you had to choose one threshold, which do you think best illustrates the potential risks for your community—and why?</w:t>
      </w:r>
      <w:r w:rsidR="00000000">
        <w:pict w14:anchorId="014798C0">
          <v:rect id="_x0000_i1028" style="width:0;height:1.5pt" o:hralign="center" o:hrstd="t" o:hr="t" fillcolor="#a0a0a0" stroked="f"/>
        </w:pict>
      </w:r>
    </w:p>
    <w:p w14:paraId="20C7DB9F" w14:textId="77777777" w:rsidR="00475A44" w:rsidRPr="00475A44" w:rsidRDefault="00475A44" w:rsidP="00475A44">
      <w:pPr>
        <w:rPr>
          <w:b/>
          <w:bCs/>
        </w:rPr>
      </w:pPr>
      <w:r w:rsidRPr="00475A44">
        <w:rPr>
          <w:b/>
          <w:bCs/>
        </w:rPr>
        <w:t>Step 4: Test Different Futures</w:t>
      </w:r>
    </w:p>
    <w:p w14:paraId="2E411C02" w14:textId="2F5893E5" w:rsidR="00475A44" w:rsidRPr="00475A44" w:rsidRDefault="00055194" w:rsidP="00475A44">
      <w:r>
        <w:t xml:space="preserve">With </w:t>
      </w:r>
      <w:r w:rsidR="00CC1D8F" w:rsidRPr="00CC1D8F">
        <w:rPr>
          <w:b/>
          <w:bCs/>
        </w:rPr>
        <w:t>Humidex &gt;30</w:t>
      </w:r>
      <w:r w:rsidR="00CC1D8F">
        <w:t xml:space="preserve"> selected, t</w:t>
      </w:r>
      <w:r w:rsidR="00475A44" w:rsidRPr="00475A44">
        <w:t xml:space="preserve">oggle between </w:t>
      </w:r>
      <w:r w:rsidR="00475A44" w:rsidRPr="00475A44">
        <w:rPr>
          <w:b/>
          <w:bCs/>
        </w:rPr>
        <w:t>SSP2-4.5</w:t>
      </w:r>
      <w:r w:rsidR="00475A44" w:rsidRPr="00475A44">
        <w:t xml:space="preserve"> (medium) and </w:t>
      </w:r>
      <w:r w:rsidR="00475A44" w:rsidRPr="00475A44">
        <w:rPr>
          <w:b/>
          <w:bCs/>
        </w:rPr>
        <w:t>SSP5-8.5</w:t>
      </w:r>
      <w:r w:rsidR="00475A44" w:rsidRPr="00475A44">
        <w:t xml:space="preserve"> (high), and compare mid-century vs. end-of-century.</w:t>
      </w:r>
    </w:p>
    <w:p w14:paraId="12DC49E1" w14:textId="77777777" w:rsidR="00475A44" w:rsidRPr="00475A44" w:rsidRDefault="00475A44" w:rsidP="00475A44">
      <w:r w:rsidRPr="00475A44">
        <w:rPr>
          <w:b/>
          <w:bCs/>
        </w:rPr>
        <w:t>SSP2-4.5 (2041–2070):</w:t>
      </w:r>
      <w:r w:rsidRPr="00475A44">
        <w:t xml:space="preserve"> ______</w:t>
      </w:r>
      <w:r w:rsidRPr="00475A44">
        <w:br/>
      </w:r>
      <w:r w:rsidRPr="00475A44">
        <w:rPr>
          <w:b/>
          <w:bCs/>
        </w:rPr>
        <w:t>SSP2-4.5 (2071–2100):</w:t>
      </w:r>
      <w:r w:rsidRPr="00475A44">
        <w:t xml:space="preserve"> ______</w:t>
      </w:r>
      <w:r w:rsidRPr="00475A44">
        <w:br/>
      </w:r>
      <w:r w:rsidRPr="00475A44">
        <w:rPr>
          <w:b/>
          <w:bCs/>
        </w:rPr>
        <w:t>SSP5-8.5 (2041–2070):</w:t>
      </w:r>
      <w:r w:rsidRPr="00475A44">
        <w:t xml:space="preserve"> ______</w:t>
      </w:r>
      <w:r w:rsidRPr="00475A44">
        <w:br/>
      </w:r>
      <w:r w:rsidRPr="00475A44">
        <w:rPr>
          <w:b/>
          <w:bCs/>
        </w:rPr>
        <w:t>SSP5-8.5 (2071–2100):</w:t>
      </w:r>
      <w:r w:rsidRPr="00475A44">
        <w:t xml:space="preserve"> ______</w:t>
      </w:r>
    </w:p>
    <w:p w14:paraId="280AE55A" w14:textId="3BF609C9" w:rsidR="00475A44" w:rsidRPr="00475A44" w:rsidRDefault="00475A44" w:rsidP="00475A44">
      <w:r w:rsidRPr="00475A44">
        <w:rPr>
          <w:b/>
          <w:bCs/>
        </w:rPr>
        <w:t>Reflect:</w:t>
      </w:r>
      <w:r w:rsidRPr="00475A44">
        <w:t xml:space="preserve"> How do the scenarios</w:t>
      </w:r>
      <w:r w:rsidR="00EF7C42">
        <w:t xml:space="preserve"> compare/</w:t>
      </w:r>
      <w:r w:rsidRPr="00475A44">
        <w:t>differ? What does this tell us about near-term vs. long-term risks?</w:t>
      </w:r>
    </w:p>
    <w:p w14:paraId="450D7268" w14:textId="77777777" w:rsidR="00475A44" w:rsidRPr="00475A44" w:rsidRDefault="00000000" w:rsidP="00475A44">
      <w:r>
        <w:pict w14:anchorId="32BBB007">
          <v:rect id="_x0000_i1029" style="width:0;height:1.5pt" o:hralign="center" o:hrstd="t" o:hr="t" fillcolor="#a0a0a0" stroked="f"/>
        </w:pict>
      </w:r>
    </w:p>
    <w:p w14:paraId="2FEAC8EA" w14:textId="77777777" w:rsidR="00475A44" w:rsidRPr="00475A44" w:rsidRDefault="00475A44" w:rsidP="00475A44">
      <w:pPr>
        <w:rPr>
          <w:b/>
          <w:bCs/>
        </w:rPr>
      </w:pPr>
      <w:r w:rsidRPr="00475A44">
        <w:rPr>
          <w:b/>
          <w:bCs/>
        </w:rPr>
        <w:t>Step 5: Customize a Threshold</w:t>
      </w:r>
    </w:p>
    <w:p w14:paraId="5D2A7746" w14:textId="55E925B5" w:rsidR="00475A44" w:rsidRPr="00475A44" w:rsidRDefault="00475A44" w:rsidP="00475A44">
      <w:r w:rsidRPr="00475A44">
        <w:t xml:space="preserve">Go to the </w:t>
      </w:r>
      <w:r w:rsidRPr="00475A44">
        <w:rPr>
          <w:b/>
          <w:bCs/>
        </w:rPr>
        <w:t>Download Section</w:t>
      </w:r>
      <w:r w:rsidRPr="00475A44">
        <w:t>.</w:t>
      </w:r>
      <w:r w:rsidR="003C103F">
        <w:t xml:space="preserve"> As a group, select one variable to customize.</w:t>
      </w:r>
    </w:p>
    <w:p w14:paraId="412E9019" w14:textId="611974BF" w:rsidR="00475A44" w:rsidRPr="00475A44" w:rsidRDefault="003C103F" w:rsidP="00475A44">
      <w:r>
        <w:rPr>
          <w:b/>
          <w:bCs/>
        </w:rPr>
        <w:t>Variable:</w:t>
      </w:r>
      <w:r w:rsidR="00475A44" w:rsidRPr="00475A44">
        <w:t xml:space="preserve"> ______</w:t>
      </w:r>
      <w:r>
        <w:t>_________________________</w:t>
      </w:r>
      <w:r w:rsidR="00475A44" w:rsidRPr="00475A44">
        <w:br/>
      </w:r>
      <w:r>
        <w:rPr>
          <w:b/>
          <w:bCs/>
        </w:rPr>
        <w:t>Threshold(s): ___________________________</w:t>
      </w:r>
    </w:p>
    <w:p w14:paraId="61E35738" w14:textId="5C0BDA4A" w:rsidR="00475A44" w:rsidRPr="00475A44" w:rsidRDefault="00CA235D" w:rsidP="00475A44">
      <w:r w:rsidRPr="00CA235D">
        <w:rPr>
          <w:b/>
          <w:bCs/>
        </w:rPr>
        <w:t xml:space="preserve">Group Reflection: </w:t>
      </w:r>
      <w:r w:rsidRPr="00CA235D">
        <w:t>What factors did you consider when deciding which custom thresholds to use?</w:t>
      </w:r>
      <w:r w:rsidR="00000000">
        <w:pict w14:anchorId="655CD1D0">
          <v:rect id="_x0000_i1030" style="width:0;height:1.5pt" o:hralign="center" o:hrstd="t" o:hr="t" fillcolor="#a0a0a0" stroked="f"/>
        </w:pict>
      </w:r>
    </w:p>
    <w:p w14:paraId="6995E911" w14:textId="77777777" w:rsidR="00475A44" w:rsidRPr="00475A44" w:rsidRDefault="00475A44" w:rsidP="00475A44">
      <w:pPr>
        <w:rPr>
          <w:b/>
          <w:bCs/>
        </w:rPr>
      </w:pPr>
      <w:r w:rsidRPr="00475A44">
        <w:rPr>
          <w:b/>
          <w:bCs/>
        </w:rPr>
        <w:t>Step 6: Connect Data to Decisions</w:t>
      </w:r>
    </w:p>
    <w:p w14:paraId="4DC0EC0F" w14:textId="77777777" w:rsidR="00B76766" w:rsidRPr="00B76766" w:rsidRDefault="00B76766" w:rsidP="00B76766">
      <w:r w:rsidRPr="00B76766">
        <w:t>Imagine you are responsible for developing a health adaptation plan for your community. How could you use the climate data you’ve explored to inform your decisions?</w:t>
      </w:r>
    </w:p>
    <w:p w14:paraId="7D2CD848" w14:textId="13C5AF7B" w:rsidR="00B76766" w:rsidRPr="00B76766" w:rsidRDefault="00B76766" w:rsidP="00B76766">
      <w:r w:rsidRPr="00B76766">
        <w:rPr>
          <w:b/>
          <w:bCs/>
        </w:rPr>
        <w:t>Lesson</w:t>
      </w:r>
      <w:r w:rsidR="003F0485">
        <w:rPr>
          <w:b/>
          <w:bCs/>
        </w:rPr>
        <w:t>(s)</w:t>
      </w:r>
      <w:r w:rsidRPr="00B76766">
        <w:rPr>
          <w:b/>
          <w:bCs/>
        </w:rPr>
        <w:t xml:space="preserve"> for my community:</w:t>
      </w:r>
      <w:r w:rsidRPr="00B76766">
        <w:t xml:space="preserve"> ___________________________________</w:t>
      </w:r>
    </w:p>
    <w:p w14:paraId="409EE14C" w14:textId="77777777" w:rsidR="00475A44" w:rsidRPr="00475A44" w:rsidRDefault="00000000" w:rsidP="00475A44">
      <w:r>
        <w:pict w14:anchorId="34E9F2AA">
          <v:rect id="_x0000_i1031" style="width:0;height:1.5pt" o:hralign="center" o:hrstd="t" o:hr="t" fillcolor="#a0a0a0" stroked="f"/>
        </w:pict>
      </w:r>
    </w:p>
    <w:p w14:paraId="2A35F1AF" w14:textId="40EFFFEB" w:rsidR="00475A44" w:rsidRPr="00475A44" w:rsidRDefault="00475A44" w:rsidP="00475A44">
      <w:pPr>
        <w:rPr>
          <w:b/>
          <w:bCs/>
        </w:rPr>
      </w:pPr>
      <w:r w:rsidRPr="00475A44">
        <w:rPr>
          <w:b/>
          <w:bCs/>
        </w:rPr>
        <w:t>Final Thought</w:t>
      </w:r>
      <w:r w:rsidR="000D3B0A">
        <w:rPr>
          <w:b/>
          <w:bCs/>
        </w:rPr>
        <w:t>s</w:t>
      </w:r>
    </w:p>
    <w:p w14:paraId="72858E94" w14:textId="13E2F712" w:rsidR="00475A44" w:rsidRPr="00475A44" w:rsidRDefault="00475A44" w:rsidP="00475A44">
      <w:r w:rsidRPr="00475A44">
        <w:rPr>
          <w:b/>
          <w:bCs/>
        </w:rPr>
        <w:t>One insight I will take away from this activity:</w:t>
      </w:r>
      <w:r w:rsidR="000D3B0A">
        <w:rPr>
          <w:b/>
          <w:bCs/>
        </w:rPr>
        <w:t xml:space="preserve"> </w:t>
      </w:r>
      <w:r w:rsidR="000D3B0A" w:rsidRPr="00B76766">
        <w:t>___________________________________</w:t>
      </w:r>
      <w:r w:rsidR="000D3B0A">
        <w:t>___</w:t>
      </w:r>
    </w:p>
    <w:p w14:paraId="4B876FE2" w14:textId="20336FE6" w:rsidR="5F77B37A" w:rsidRDefault="1672004A" w:rsidP="5F77B37A">
      <w:pPr>
        <w:rPr>
          <w:b/>
          <w:bCs/>
        </w:rPr>
      </w:pPr>
      <w:r w:rsidRPr="06EE191E">
        <w:rPr>
          <w:b/>
          <w:bCs/>
        </w:rPr>
        <w:t xml:space="preserve">One </w:t>
      </w:r>
      <w:r w:rsidR="000D3B0A">
        <w:rPr>
          <w:b/>
          <w:bCs/>
        </w:rPr>
        <w:t xml:space="preserve">topic </w:t>
      </w:r>
      <w:r w:rsidR="00917481">
        <w:rPr>
          <w:b/>
          <w:bCs/>
        </w:rPr>
        <w:t>I want to dig deeper into after this activity</w:t>
      </w:r>
      <w:r w:rsidRPr="49AFFC6C">
        <w:rPr>
          <w:b/>
          <w:bCs/>
        </w:rPr>
        <w:t xml:space="preserve">: </w:t>
      </w:r>
      <w:r w:rsidR="000D3B0A" w:rsidRPr="00B76766">
        <w:t>________________________________</w:t>
      </w:r>
    </w:p>
    <w:p w14:paraId="6BB2F855" w14:textId="77777777" w:rsidR="007C42E4" w:rsidRDefault="007C42E4" w:rsidP="00BD4A80"/>
    <w:sectPr w:rsidR="007C4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A42"/>
    <w:multiLevelType w:val="multilevel"/>
    <w:tmpl w:val="2ABC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82CCC"/>
    <w:multiLevelType w:val="multilevel"/>
    <w:tmpl w:val="977C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73163"/>
    <w:multiLevelType w:val="multilevel"/>
    <w:tmpl w:val="A1EA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24F6A"/>
    <w:multiLevelType w:val="multilevel"/>
    <w:tmpl w:val="BD90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E4120"/>
    <w:multiLevelType w:val="multilevel"/>
    <w:tmpl w:val="4C04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F3CD5"/>
    <w:multiLevelType w:val="multilevel"/>
    <w:tmpl w:val="E65E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C0A47"/>
    <w:multiLevelType w:val="multilevel"/>
    <w:tmpl w:val="DBA4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36010"/>
    <w:multiLevelType w:val="multilevel"/>
    <w:tmpl w:val="254E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B2178"/>
    <w:multiLevelType w:val="multilevel"/>
    <w:tmpl w:val="4A04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E703D"/>
    <w:multiLevelType w:val="multilevel"/>
    <w:tmpl w:val="3CBC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65DBE"/>
    <w:multiLevelType w:val="multilevel"/>
    <w:tmpl w:val="1EEE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F6A9D"/>
    <w:multiLevelType w:val="multilevel"/>
    <w:tmpl w:val="B048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D1B81"/>
    <w:multiLevelType w:val="multilevel"/>
    <w:tmpl w:val="BD7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06D4A"/>
    <w:multiLevelType w:val="multilevel"/>
    <w:tmpl w:val="DD90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E1F4F"/>
    <w:multiLevelType w:val="multilevel"/>
    <w:tmpl w:val="94EE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31AB1"/>
    <w:multiLevelType w:val="multilevel"/>
    <w:tmpl w:val="82D80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F038D"/>
    <w:multiLevelType w:val="multilevel"/>
    <w:tmpl w:val="E7F8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94E35"/>
    <w:multiLevelType w:val="multilevel"/>
    <w:tmpl w:val="28B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8497D"/>
    <w:multiLevelType w:val="multilevel"/>
    <w:tmpl w:val="20BC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77CDD"/>
    <w:multiLevelType w:val="multilevel"/>
    <w:tmpl w:val="E10C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797FAD"/>
    <w:multiLevelType w:val="multilevel"/>
    <w:tmpl w:val="AC92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D70CF"/>
    <w:multiLevelType w:val="multilevel"/>
    <w:tmpl w:val="2FEA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5F0CA9"/>
    <w:multiLevelType w:val="multilevel"/>
    <w:tmpl w:val="B9CC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F2FDE"/>
    <w:multiLevelType w:val="hybridMultilevel"/>
    <w:tmpl w:val="BB5EBF68"/>
    <w:lvl w:ilvl="0" w:tplc="4E86C6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59231">
    <w:abstractNumId w:val="0"/>
  </w:num>
  <w:num w:numId="2" w16cid:durableId="1979414091">
    <w:abstractNumId w:val="18"/>
  </w:num>
  <w:num w:numId="3" w16cid:durableId="2009602149">
    <w:abstractNumId w:val="9"/>
  </w:num>
  <w:num w:numId="4" w16cid:durableId="1722903531">
    <w:abstractNumId w:val="1"/>
  </w:num>
  <w:num w:numId="5" w16cid:durableId="657029252">
    <w:abstractNumId w:val="14"/>
  </w:num>
  <w:num w:numId="6" w16cid:durableId="954941964">
    <w:abstractNumId w:val="6"/>
  </w:num>
  <w:num w:numId="7" w16cid:durableId="957416277">
    <w:abstractNumId w:val="16"/>
  </w:num>
  <w:num w:numId="8" w16cid:durableId="1145465876">
    <w:abstractNumId w:val="3"/>
  </w:num>
  <w:num w:numId="9" w16cid:durableId="354886808">
    <w:abstractNumId w:val="21"/>
  </w:num>
  <w:num w:numId="10" w16cid:durableId="522061026">
    <w:abstractNumId w:val="22"/>
  </w:num>
  <w:num w:numId="11" w16cid:durableId="2093356731">
    <w:abstractNumId w:val="13"/>
  </w:num>
  <w:num w:numId="12" w16cid:durableId="631905179">
    <w:abstractNumId w:val="12"/>
  </w:num>
  <w:num w:numId="13" w16cid:durableId="662199199">
    <w:abstractNumId w:val="10"/>
  </w:num>
  <w:num w:numId="14" w16cid:durableId="1495220939">
    <w:abstractNumId w:val="23"/>
  </w:num>
  <w:num w:numId="15" w16cid:durableId="890192764">
    <w:abstractNumId w:val="11"/>
  </w:num>
  <w:num w:numId="16" w16cid:durableId="1202599066">
    <w:abstractNumId w:val="8"/>
  </w:num>
  <w:num w:numId="17" w16cid:durableId="2078940199">
    <w:abstractNumId w:val="5"/>
  </w:num>
  <w:num w:numId="18" w16cid:durableId="2027443220">
    <w:abstractNumId w:val="4"/>
  </w:num>
  <w:num w:numId="19" w16cid:durableId="988443010">
    <w:abstractNumId w:val="17"/>
  </w:num>
  <w:num w:numId="20" w16cid:durableId="1025014566">
    <w:abstractNumId w:val="20"/>
  </w:num>
  <w:num w:numId="21" w16cid:durableId="924413335">
    <w:abstractNumId w:val="19"/>
  </w:num>
  <w:num w:numId="22" w16cid:durableId="1538273476">
    <w:abstractNumId w:val="2"/>
  </w:num>
  <w:num w:numId="23" w16cid:durableId="532499233">
    <w:abstractNumId w:val="7"/>
  </w:num>
  <w:num w:numId="24" w16cid:durableId="3008923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5A"/>
    <w:rsid w:val="00016F33"/>
    <w:rsid w:val="00020246"/>
    <w:rsid w:val="00041BA1"/>
    <w:rsid w:val="00046A21"/>
    <w:rsid w:val="0004755E"/>
    <w:rsid w:val="000519EE"/>
    <w:rsid w:val="0005247B"/>
    <w:rsid w:val="00055194"/>
    <w:rsid w:val="00056B90"/>
    <w:rsid w:val="000637EA"/>
    <w:rsid w:val="00084816"/>
    <w:rsid w:val="00085C26"/>
    <w:rsid w:val="000927D5"/>
    <w:rsid w:val="000A50AF"/>
    <w:rsid w:val="000B13CE"/>
    <w:rsid w:val="000B790D"/>
    <w:rsid w:val="000D3B0A"/>
    <w:rsid w:val="000D6B1B"/>
    <w:rsid w:val="000D7C8A"/>
    <w:rsid w:val="000E04D4"/>
    <w:rsid w:val="000E0C04"/>
    <w:rsid w:val="000E3EBF"/>
    <w:rsid w:val="000E708E"/>
    <w:rsid w:val="00100692"/>
    <w:rsid w:val="00100C07"/>
    <w:rsid w:val="00107081"/>
    <w:rsid w:val="00112C87"/>
    <w:rsid w:val="001217DB"/>
    <w:rsid w:val="00127892"/>
    <w:rsid w:val="00160D90"/>
    <w:rsid w:val="001667E1"/>
    <w:rsid w:val="0018261D"/>
    <w:rsid w:val="001833AF"/>
    <w:rsid w:val="001845A3"/>
    <w:rsid w:val="0018693D"/>
    <w:rsid w:val="00196928"/>
    <w:rsid w:val="001A5137"/>
    <w:rsid w:val="001B054E"/>
    <w:rsid w:val="001D1FD8"/>
    <w:rsid w:val="001D3092"/>
    <w:rsid w:val="001E3DBB"/>
    <w:rsid w:val="001E5E6E"/>
    <w:rsid w:val="00210BD3"/>
    <w:rsid w:val="002120FF"/>
    <w:rsid w:val="002150AD"/>
    <w:rsid w:val="00226AC3"/>
    <w:rsid w:val="0023487B"/>
    <w:rsid w:val="00252CDA"/>
    <w:rsid w:val="00257E3F"/>
    <w:rsid w:val="00274BA9"/>
    <w:rsid w:val="00285AC0"/>
    <w:rsid w:val="002A3668"/>
    <w:rsid w:val="002C1A01"/>
    <w:rsid w:val="002C3360"/>
    <w:rsid w:val="002C545F"/>
    <w:rsid w:val="002C6582"/>
    <w:rsid w:val="002C7C39"/>
    <w:rsid w:val="002D147C"/>
    <w:rsid w:val="002E5EE4"/>
    <w:rsid w:val="003129C9"/>
    <w:rsid w:val="003150F0"/>
    <w:rsid w:val="003153EC"/>
    <w:rsid w:val="00333652"/>
    <w:rsid w:val="00335BC4"/>
    <w:rsid w:val="0034746D"/>
    <w:rsid w:val="00351DDE"/>
    <w:rsid w:val="0035798E"/>
    <w:rsid w:val="003714CF"/>
    <w:rsid w:val="003801E1"/>
    <w:rsid w:val="00392A0A"/>
    <w:rsid w:val="003B6F02"/>
    <w:rsid w:val="003C103F"/>
    <w:rsid w:val="003D255A"/>
    <w:rsid w:val="003F0485"/>
    <w:rsid w:val="003F08C7"/>
    <w:rsid w:val="003F2885"/>
    <w:rsid w:val="003F685D"/>
    <w:rsid w:val="004032C4"/>
    <w:rsid w:val="004117E6"/>
    <w:rsid w:val="00413F0F"/>
    <w:rsid w:val="00434F11"/>
    <w:rsid w:val="004409BF"/>
    <w:rsid w:val="00446579"/>
    <w:rsid w:val="00455F43"/>
    <w:rsid w:val="00456E72"/>
    <w:rsid w:val="004637F0"/>
    <w:rsid w:val="00466A13"/>
    <w:rsid w:val="00475A44"/>
    <w:rsid w:val="004812F1"/>
    <w:rsid w:val="004824D5"/>
    <w:rsid w:val="0048260C"/>
    <w:rsid w:val="00482B15"/>
    <w:rsid w:val="00483CAD"/>
    <w:rsid w:val="00490DBD"/>
    <w:rsid w:val="00493D7A"/>
    <w:rsid w:val="00497A42"/>
    <w:rsid w:val="004B5530"/>
    <w:rsid w:val="004C3ABD"/>
    <w:rsid w:val="004D1B91"/>
    <w:rsid w:val="004D250E"/>
    <w:rsid w:val="004E558D"/>
    <w:rsid w:val="004E585A"/>
    <w:rsid w:val="0050179B"/>
    <w:rsid w:val="00505B6E"/>
    <w:rsid w:val="0053057F"/>
    <w:rsid w:val="00536762"/>
    <w:rsid w:val="00537162"/>
    <w:rsid w:val="005653F7"/>
    <w:rsid w:val="00577410"/>
    <w:rsid w:val="0058436F"/>
    <w:rsid w:val="005875A2"/>
    <w:rsid w:val="00591F85"/>
    <w:rsid w:val="00592543"/>
    <w:rsid w:val="005A1826"/>
    <w:rsid w:val="005A600E"/>
    <w:rsid w:val="005A763B"/>
    <w:rsid w:val="005A7C9A"/>
    <w:rsid w:val="005B2B62"/>
    <w:rsid w:val="005B6A8F"/>
    <w:rsid w:val="005D4A4B"/>
    <w:rsid w:val="005F748F"/>
    <w:rsid w:val="00606A14"/>
    <w:rsid w:val="006172F1"/>
    <w:rsid w:val="00624295"/>
    <w:rsid w:val="006247AA"/>
    <w:rsid w:val="00635BA4"/>
    <w:rsid w:val="00640100"/>
    <w:rsid w:val="00665DBB"/>
    <w:rsid w:val="00672805"/>
    <w:rsid w:val="00680A79"/>
    <w:rsid w:val="00680B3E"/>
    <w:rsid w:val="0069372F"/>
    <w:rsid w:val="006A1D33"/>
    <w:rsid w:val="006A6F75"/>
    <w:rsid w:val="006A7845"/>
    <w:rsid w:val="006B7FBE"/>
    <w:rsid w:val="006C1638"/>
    <w:rsid w:val="006C6E42"/>
    <w:rsid w:val="006D25C3"/>
    <w:rsid w:val="006D7A2F"/>
    <w:rsid w:val="006E0D3B"/>
    <w:rsid w:val="006E1E39"/>
    <w:rsid w:val="006E4742"/>
    <w:rsid w:val="006F0AF2"/>
    <w:rsid w:val="006F31E1"/>
    <w:rsid w:val="00703CA8"/>
    <w:rsid w:val="0071274B"/>
    <w:rsid w:val="007131F7"/>
    <w:rsid w:val="00714689"/>
    <w:rsid w:val="00732CD3"/>
    <w:rsid w:val="007345F4"/>
    <w:rsid w:val="00734795"/>
    <w:rsid w:val="00747FA7"/>
    <w:rsid w:val="00760CAD"/>
    <w:rsid w:val="007643F7"/>
    <w:rsid w:val="00794C83"/>
    <w:rsid w:val="007A57C3"/>
    <w:rsid w:val="007B150B"/>
    <w:rsid w:val="007C42E4"/>
    <w:rsid w:val="007D2193"/>
    <w:rsid w:val="007E4D26"/>
    <w:rsid w:val="007E766F"/>
    <w:rsid w:val="007F1420"/>
    <w:rsid w:val="007F251B"/>
    <w:rsid w:val="0080705D"/>
    <w:rsid w:val="008248E4"/>
    <w:rsid w:val="00841299"/>
    <w:rsid w:val="0084301F"/>
    <w:rsid w:val="0085602B"/>
    <w:rsid w:val="00856A6F"/>
    <w:rsid w:val="00870729"/>
    <w:rsid w:val="008776B6"/>
    <w:rsid w:val="00882AF2"/>
    <w:rsid w:val="0088688B"/>
    <w:rsid w:val="008930DE"/>
    <w:rsid w:val="00897842"/>
    <w:rsid w:val="008A4F0B"/>
    <w:rsid w:val="008C3177"/>
    <w:rsid w:val="008D2C73"/>
    <w:rsid w:val="008D7A5F"/>
    <w:rsid w:val="008E1923"/>
    <w:rsid w:val="008E285F"/>
    <w:rsid w:val="008E64BA"/>
    <w:rsid w:val="008E6AFA"/>
    <w:rsid w:val="008F3F79"/>
    <w:rsid w:val="00903999"/>
    <w:rsid w:val="009070B1"/>
    <w:rsid w:val="009116CD"/>
    <w:rsid w:val="00917481"/>
    <w:rsid w:val="00926875"/>
    <w:rsid w:val="0093032C"/>
    <w:rsid w:val="0093248A"/>
    <w:rsid w:val="009529EA"/>
    <w:rsid w:val="0096108D"/>
    <w:rsid w:val="00971397"/>
    <w:rsid w:val="009932EF"/>
    <w:rsid w:val="00994910"/>
    <w:rsid w:val="009A4C3B"/>
    <w:rsid w:val="009E5605"/>
    <w:rsid w:val="009E69D1"/>
    <w:rsid w:val="009F34D1"/>
    <w:rsid w:val="00A07293"/>
    <w:rsid w:val="00A12D9B"/>
    <w:rsid w:val="00A203F3"/>
    <w:rsid w:val="00A24838"/>
    <w:rsid w:val="00A2620C"/>
    <w:rsid w:val="00A3111F"/>
    <w:rsid w:val="00A32742"/>
    <w:rsid w:val="00A331EF"/>
    <w:rsid w:val="00A43947"/>
    <w:rsid w:val="00A44DA4"/>
    <w:rsid w:val="00A476B1"/>
    <w:rsid w:val="00A50D16"/>
    <w:rsid w:val="00A55F02"/>
    <w:rsid w:val="00A56EAE"/>
    <w:rsid w:val="00A72FD4"/>
    <w:rsid w:val="00A74124"/>
    <w:rsid w:val="00A81B31"/>
    <w:rsid w:val="00A86D07"/>
    <w:rsid w:val="00A94F7D"/>
    <w:rsid w:val="00A97B1D"/>
    <w:rsid w:val="00AB5A86"/>
    <w:rsid w:val="00AB6A64"/>
    <w:rsid w:val="00AB6C1A"/>
    <w:rsid w:val="00AC1E90"/>
    <w:rsid w:val="00AC47C7"/>
    <w:rsid w:val="00AD17BB"/>
    <w:rsid w:val="00AD4BE9"/>
    <w:rsid w:val="00AE729C"/>
    <w:rsid w:val="00AF3653"/>
    <w:rsid w:val="00AF59AD"/>
    <w:rsid w:val="00B03A26"/>
    <w:rsid w:val="00B04126"/>
    <w:rsid w:val="00B07EE1"/>
    <w:rsid w:val="00B15D2C"/>
    <w:rsid w:val="00B23341"/>
    <w:rsid w:val="00B266C9"/>
    <w:rsid w:val="00B40C2D"/>
    <w:rsid w:val="00B4180C"/>
    <w:rsid w:val="00B53DD0"/>
    <w:rsid w:val="00B61E1E"/>
    <w:rsid w:val="00B71EF7"/>
    <w:rsid w:val="00B76766"/>
    <w:rsid w:val="00B83005"/>
    <w:rsid w:val="00B873DE"/>
    <w:rsid w:val="00B8765B"/>
    <w:rsid w:val="00BA4D2F"/>
    <w:rsid w:val="00BA5B78"/>
    <w:rsid w:val="00BA670C"/>
    <w:rsid w:val="00BC66EF"/>
    <w:rsid w:val="00BD3391"/>
    <w:rsid w:val="00BD4A80"/>
    <w:rsid w:val="00BF0EA8"/>
    <w:rsid w:val="00C249FF"/>
    <w:rsid w:val="00C27CFA"/>
    <w:rsid w:val="00C57C8A"/>
    <w:rsid w:val="00C634BC"/>
    <w:rsid w:val="00C829FE"/>
    <w:rsid w:val="00CA235D"/>
    <w:rsid w:val="00CA3BC5"/>
    <w:rsid w:val="00CB1B60"/>
    <w:rsid w:val="00CB68F7"/>
    <w:rsid w:val="00CC1D8F"/>
    <w:rsid w:val="00CF16AC"/>
    <w:rsid w:val="00D021AB"/>
    <w:rsid w:val="00D021E4"/>
    <w:rsid w:val="00D1151B"/>
    <w:rsid w:val="00D116BB"/>
    <w:rsid w:val="00D16862"/>
    <w:rsid w:val="00D271AF"/>
    <w:rsid w:val="00D355FD"/>
    <w:rsid w:val="00D5618C"/>
    <w:rsid w:val="00D75773"/>
    <w:rsid w:val="00D906E9"/>
    <w:rsid w:val="00DA230B"/>
    <w:rsid w:val="00DA6389"/>
    <w:rsid w:val="00DA729A"/>
    <w:rsid w:val="00DC0C31"/>
    <w:rsid w:val="00DC701F"/>
    <w:rsid w:val="00DC7BDF"/>
    <w:rsid w:val="00E01617"/>
    <w:rsid w:val="00E13BFB"/>
    <w:rsid w:val="00E22FB9"/>
    <w:rsid w:val="00E43004"/>
    <w:rsid w:val="00E5023E"/>
    <w:rsid w:val="00E64496"/>
    <w:rsid w:val="00E84ADB"/>
    <w:rsid w:val="00EA1F7A"/>
    <w:rsid w:val="00EB53EC"/>
    <w:rsid w:val="00EE4D4D"/>
    <w:rsid w:val="00EF15B1"/>
    <w:rsid w:val="00EF7C42"/>
    <w:rsid w:val="00F01367"/>
    <w:rsid w:val="00F22047"/>
    <w:rsid w:val="00F259AB"/>
    <w:rsid w:val="00F43144"/>
    <w:rsid w:val="00F431D7"/>
    <w:rsid w:val="00F46CED"/>
    <w:rsid w:val="00F51B53"/>
    <w:rsid w:val="00F56AA2"/>
    <w:rsid w:val="00F610AE"/>
    <w:rsid w:val="00F667E8"/>
    <w:rsid w:val="00F72A8C"/>
    <w:rsid w:val="00F74C79"/>
    <w:rsid w:val="00F81F3E"/>
    <w:rsid w:val="00F83880"/>
    <w:rsid w:val="00F87D8C"/>
    <w:rsid w:val="00F918EC"/>
    <w:rsid w:val="00F9745B"/>
    <w:rsid w:val="00FC175A"/>
    <w:rsid w:val="00FC1907"/>
    <w:rsid w:val="00FC31F0"/>
    <w:rsid w:val="00FC64BD"/>
    <w:rsid w:val="00FD3AE2"/>
    <w:rsid w:val="00FE0523"/>
    <w:rsid w:val="00FE3E62"/>
    <w:rsid w:val="06591B0D"/>
    <w:rsid w:val="06EE191E"/>
    <w:rsid w:val="14DE2974"/>
    <w:rsid w:val="1672004A"/>
    <w:rsid w:val="25774D01"/>
    <w:rsid w:val="382E8D00"/>
    <w:rsid w:val="3AACE4F4"/>
    <w:rsid w:val="3FA93B22"/>
    <w:rsid w:val="49AFFC6C"/>
    <w:rsid w:val="5597D620"/>
    <w:rsid w:val="5ED4D4DD"/>
    <w:rsid w:val="5F093F93"/>
    <w:rsid w:val="5F77B37A"/>
    <w:rsid w:val="63395A9D"/>
    <w:rsid w:val="6A2E78E1"/>
    <w:rsid w:val="72E406B5"/>
    <w:rsid w:val="76ACD19C"/>
    <w:rsid w:val="7917E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AF57"/>
  <w15:chartTrackingRefBased/>
  <w15:docId w15:val="{F794A55D-62ED-4DF3-8BFB-0202AF6E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58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4BA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53DD0"/>
    <w:pPr>
      <w:spacing w:after="0" w:line="240" w:lineRule="auto"/>
    </w:pPr>
  </w:style>
  <w:style w:type="table" w:styleId="TableGrid">
    <w:name w:val="Table Grid"/>
    <w:basedOn w:val="TableNormal"/>
    <w:uiPriority w:val="39"/>
    <w:rsid w:val="005B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8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3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7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4C521C601B4F9DCE921A7DEE7460" ma:contentTypeVersion="23" ma:contentTypeDescription="Create a new document." ma:contentTypeScope="" ma:versionID="1d4290265440643db20736f4c6a9250a">
  <xsd:schema xmlns:xsd="http://www.w3.org/2001/XMLSchema" xmlns:xs="http://www.w3.org/2001/XMLSchema" xmlns:p="http://schemas.microsoft.com/office/2006/metadata/properties" xmlns:ns1="http://schemas.microsoft.com/sharepoint/v3" xmlns:ns2="2265d2cf-dc49-4f73-81a7-3266a36d53af" xmlns:ns3="61170afc-8edf-4b61-a019-dc093f4e4a16" targetNamespace="http://schemas.microsoft.com/office/2006/metadata/properties" ma:root="true" ma:fieldsID="32d3b00fb6cb1fad81164359cfc96b08" ns1:_="" ns2:_="" ns3:_="">
    <xsd:import namespace="http://schemas.microsoft.com/sharepoint/v3"/>
    <xsd:import namespace="2265d2cf-dc49-4f73-81a7-3266a36d53af"/>
    <xsd:import namespace="61170afc-8edf-4b61-a019-dc093f4e4a16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5d2cf-dc49-4f73-81a7-3266a36d53af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description="Laniel review_Nov28, 17h00" ma:internalName="Comments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fe21a1-9997-4c9a-aa7f-25894d349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70afc-8edf-4b61-a019-dc093f4e4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3acfb25b-e701-41e8-9f0f-dea08750e139}" ma:internalName="TaxCatchAll" ma:readOnly="false" ma:showField="CatchAllData" ma:web="61170afc-8edf-4b61-a019-dc093f4e4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70afc-8edf-4b61-a019-dc093f4e4a16" xsi:nil="true"/>
    <lcf76f155ced4ddcb4097134ff3c332f xmlns="2265d2cf-dc49-4f73-81a7-3266a36d53af">
      <Terms xmlns="http://schemas.microsoft.com/office/infopath/2007/PartnerControls"/>
    </lcf76f155ced4ddcb4097134ff3c332f>
    <Comments xmlns="2265d2cf-dc49-4f73-81a7-3266a36d53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167DFF-4AFF-4E46-9E61-F5C7C8D3A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9DBC3-0672-4D52-9D86-721452FFD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65d2cf-dc49-4f73-81a7-3266a36d53af"/>
    <ds:schemaRef ds:uri="61170afc-8edf-4b61-a019-dc093f4e4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20691-D156-4954-8C53-BA96B2AAA43E}">
  <ds:schemaRefs>
    <ds:schemaRef ds:uri="http://schemas.microsoft.com/office/2006/metadata/properties"/>
    <ds:schemaRef ds:uri="http://schemas.microsoft.com/office/infopath/2007/PartnerControls"/>
    <ds:schemaRef ds:uri="61170afc-8edf-4b61-a019-dc093f4e4a16"/>
    <ds:schemaRef ds:uri="2265d2cf-dc49-4f73-81a7-3266a36d53a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363</Words>
  <Characters>2085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Links>
    <vt:vector size="78" baseType="variant">
      <vt:variant>
        <vt:i4>1310726</vt:i4>
      </vt:variant>
      <vt:variant>
        <vt:i4>36</vt:i4>
      </vt:variant>
      <vt:variant>
        <vt:i4>0</vt:i4>
      </vt:variant>
      <vt:variant>
        <vt:i4>5</vt:i4>
      </vt:variant>
      <vt:variant>
        <vt:lpwstr>https://climatedata.ca/health-module</vt:lpwstr>
      </vt:variant>
      <vt:variant>
        <vt:lpwstr/>
      </vt:variant>
      <vt:variant>
        <vt:i4>1048645</vt:i4>
      </vt:variant>
      <vt:variant>
        <vt:i4>33</vt:i4>
      </vt:variant>
      <vt:variant>
        <vt:i4>0</vt:i4>
      </vt:variant>
      <vt:variant>
        <vt:i4>5</vt:i4>
      </vt:variant>
      <vt:variant>
        <vt:lpwstr>https://climatedata.ca/learn/?</vt:lpwstr>
      </vt:variant>
      <vt:variant>
        <vt:lpwstr>module-179</vt:lpwstr>
      </vt:variant>
      <vt:variant>
        <vt:i4>6750266</vt:i4>
      </vt:variant>
      <vt:variant>
        <vt:i4>30</vt:i4>
      </vt:variant>
      <vt:variant>
        <vt:i4>0</vt:i4>
      </vt:variant>
      <vt:variant>
        <vt:i4>5</vt:i4>
      </vt:variant>
      <vt:variant>
        <vt:lpwstr>https://climatedata.ca/learn/?</vt:lpwstr>
      </vt:variant>
      <vt:variant>
        <vt:lpwstr/>
      </vt:variant>
      <vt:variant>
        <vt:i4>589840</vt:i4>
      </vt:variant>
      <vt:variant>
        <vt:i4>27</vt:i4>
      </vt:variant>
      <vt:variant>
        <vt:i4>0</vt:i4>
      </vt:variant>
      <vt:variant>
        <vt:i4>5</vt:i4>
      </vt:variant>
      <vt:variant>
        <vt:lpwstr>https://climatedata.ca/maps/</vt:lpwstr>
      </vt:variant>
      <vt:variant>
        <vt:lpwstr/>
      </vt:variant>
      <vt:variant>
        <vt:i4>655368</vt:i4>
      </vt:variant>
      <vt:variant>
        <vt:i4>24</vt:i4>
      </vt:variant>
      <vt:variant>
        <vt:i4>0</vt:i4>
      </vt:variant>
      <vt:variant>
        <vt:i4>5</vt:i4>
      </vt:variant>
      <vt:variant>
        <vt:lpwstr>https://climatedata.ca/download/</vt:lpwstr>
      </vt:variant>
      <vt:variant>
        <vt:lpwstr/>
      </vt:variant>
      <vt:variant>
        <vt:i4>6750267</vt:i4>
      </vt:variant>
      <vt:variant>
        <vt:i4>21</vt:i4>
      </vt:variant>
      <vt:variant>
        <vt:i4>0</vt:i4>
      </vt:variant>
      <vt:variant>
        <vt:i4>5</vt:i4>
      </vt:variant>
      <vt:variant>
        <vt:lpwstr>https://climatedata.ca/resource/30-years-data/</vt:lpwstr>
      </vt:variant>
      <vt:variant>
        <vt:lpwstr/>
      </vt:variant>
      <vt:variant>
        <vt:i4>2752573</vt:i4>
      </vt:variant>
      <vt:variant>
        <vt:i4>18</vt:i4>
      </vt:variant>
      <vt:variant>
        <vt:i4>0</vt:i4>
      </vt:variant>
      <vt:variant>
        <vt:i4>5</vt:i4>
      </vt:variant>
      <vt:variant>
        <vt:lpwstr>https://climatedata.ca/resource/understanding-shared-socio-economic-pathways-ssps/</vt:lpwstr>
      </vt:variant>
      <vt:variant>
        <vt:lpwstr/>
      </vt:variant>
      <vt:variant>
        <vt:i4>7995498</vt:i4>
      </vt:variant>
      <vt:variant>
        <vt:i4>15</vt:i4>
      </vt:variant>
      <vt:variant>
        <vt:i4>0</vt:i4>
      </vt:variant>
      <vt:variant>
        <vt:i4>5</vt:i4>
      </vt:variant>
      <vt:variant>
        <vt:lpwstr>https://climatedata.ca/new-and-noteworthy-humidex-projections/</vt:lpwstr>
      </vt:variant>
      <vt:variant>
        <vt:lpwstr/>
      </vt:variant>
      <vt:variant>
        <vt:i4>2752573</vt:i4>
      </vt:variant>
      <vt:variant>
        <vt:i4>12</vt:i4>
      </vt:variant>
      <vt:variant>
        <vt:i4>0</vt:i4>
      </vt:variant>
      <vt:variant>
        <vt:i4>5</vt:i4>
      </vt:variant>
      <vt:variant>
        <vt:lpwstr>https://climatedata.ca/resource/understanding-shared-socio-economic-pathways-ssps/</vt:lpwstr>
      </vt:variant>
      <vt:variant>
        <vt:lpwstr/>
      </vt:variant>
      <vt:variant>
        <vt:i4>6750267</vt:i4>
      </vt:variant>
      <vt:variant>
        <vt:i4>9</vt:i4>
      </vt:variant>
      <vt:variant>
        <vt:i4>0</vt:i4>
      </vt:variant>
      <vt:variant>
        <vt:i4>5</vt:i4>
      </vt:variant>
      <vt:variant>
        <vt:lpwstr>https://climatedata.ca/resource/30-years-data/</vt:lpwstr>
      </vt:variant>
      <vt:variant>
        <vt:lpwstr/>
      </vt:variant>
      <vt:variant>
        <vt:i4>2818166</vt:i4>
      </vt:variant>
      <vt:variant>
        <vt:i4>6</vt:i4>
      </vt:variant>
      <vt:variant>
        <vt:i4>0</vt:i4>
      </vt:variant>
      <vt:variant>
        <vt:i4>5</vt:i4>
      </vt:variant>
      <vt:variant>
        <vt:lpwstr>https://climatedata.ca/resource/multi-model-ensembles/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https://climatedata.ca/maps/</vt:lpwstr>
      </vt:variant>
      <vt:variant>
        <vt:lpwstr/>
      </vt:variant>
      <vt:variant>
        <vt:i4>6946927</vt:i4>
      </vt:variant>
      <vt:variant>
        <vt:i4>0</vt:i4>
      </vt:variant>
      <vt:variant>
        <vt:i4>0</vt:i4>
      </vt:variant>
      <vt:variant>
        <vt:i4>5</vt:i4>
      </vt:variant>
      <vt:variant>
        <vt:lpwstr>https://007gc.sharepoint.com/:w:/r/sites/DGMOCPCPCC-SC=PCFIB-CS/Shared Documents/CCCS - CCSC/07-OUTREACH %26 ENGAGEMENT/Outreach Campaigns/Post Secondary Students 2025/Climate Foundations Blog - EN.docx?d=w5fc5b3478d49470c883bd216b139dc64&amp;csf=1&amp;web=1&amp;e=8MhgJA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Smith,Ryan (il | he, him) (ECCC)</dc:creator>
  <cp:keywords/>
  <dc:description/>
  <cp:lastModifiedBy>Malena-Chan,Rachel (elle | she, her) (ECCC)</cp:lastModifiedBy>
  <cp:revision>256</cp:revision>
  <dcterms:created xsi:type="dcterms:W3CDTF">2025-06-23T16:21:00Z</dcterms:created>
  <dcterms:modified xsi:type="dcterms:W3CDTF">2026-03-19T19:50:00Z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0x010100E6B34C521C601B4F9DCE921A7DEE7460</vt:lpwstr>
  </property>
</Properties>
</file>